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drawing>
          <wp:inline>
            <wp:extent cx="2381250" cy="1000125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 r:link=""/>
                    <a:srcRect b="0" l="0" r="0" t="0"/>
                    <a:stretch/>
                  </pic:blipFill>
                  <pic:spPr>
                    <a:xfrm rot="0">
                      <a:ext cx="2381250" cy="10001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Управление </w:t>
      </w:r>
      <w:r>
        <w:rPr>
          <w:rFonts w:ascii="Times New Roman" w:hAnsi="Times New Roman"/>
          <w:b w:val="1"/>
          <w:sz w:val="24"/>
        </w:rPr>
        <w:t>Росреестра</w:t>
      </w:r>
      <w:r>
        <w:rPr>
          <w:rFonts w:ascii="Times New Roman" w:hAnsi="Times New Roman"/>
          <w:b w:val="1"/>
          <w:sz w:val="24"/>
        </w:rPr>
        <w:t xml:space="preserve"> по Республике Адыгея</w:t>
      </w:r>
    </w:p>
    <w:p w14:paraId="03000000"/>
    <w:p w14:paraId="04000000">
      <w:pPr>
        <w:ind/>
        <w:jc w:val="center"/>
        <w:rPr>
          <w:b w:val="1"/>
        </w:rPr>
      </w:pPr>
      <w:r>
        <w:rPr>
          <w:rFonts w:ascii="Times New Roman" w:hAnsi="Times New Roman"/>
          <w:b w:val="1"/>
          <w:sz w:val="28"/>
        </w:rPr>
        <w:t>Регистрация</w:t>
      </w:r>
      <w:r>
        <w:rPr>
          <w:b w:val="1"/>
        </w:rPr>
        <w:t xml:space="preserve"> </w:t>
      </w:r>
      <w:r>
        <w:rPr>
          <w:rFonts w:ascii="Times New Roman" w:hAnsi="Times New Roman"/>
          <w:b w:val="1"/>
          <w:sz w:val="28"/>
        </w:rPr>
        <w:t>договоров долевого участия с применением счетов эскроу</w:t>
      </w:r>
    </w:p>
    <w:p w14:paraId="05000000">
      <w:pPr>
        <w:spacing w:afterAutospacing="on" w:beforeAutospacing="on" w:line="276" w:lineRule="auto"/>
        <w:ind/>
        <w:jc w:val="both"/>
        <w:outlineLvl w:val="0"/>
        <w:rPr>
          <w:rFonts w:ascii="Times New Roman" w:hAnsi="Times New Roman"/>
          <w:sz w:val="28"/>
        </w:rPr>
      </w:pPr>
    </w:p>
    <w:p w14:paraId="06000000">
      <w:pPr>
        <w:spacing w:afterAutospacing="on" w:beforeAutospacing="on" w:line="276" w:lineRule="auto"/>
        <w:ind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Поводя итоги работы руководитель Управлением Росреестра по </w:t>
      </w:r>
      <w:r>
        <w:rPr>
          <w:rFonts w:ascii="Times New Roman" w:hAnsi="Times New Roman"/>
          <w:sz w:val="28"/>
        </w:rPr>
        <w:t>Республике Адыгея М.И. Никифорова отметила, что в августе 2020 года</w:t>
      </w:r>
      <w:r>
        <w:rPr>
          <w:rFonts w:ascii="Times New Roman" w:hAnsi="Times New Roman"/>
          <w:sz w:val="28"/>
        </w:rPr>
        <w:t xml:space="preserve"> зарегистрировано 35</w:t>
      </w:r>
      <w:r>
        <w:rPr>
          <w:rFonts w:ascii="Times New Roman" w:hAnsi="Times New Roman"/>
          <w:sz w:val="28"/>
        </w:rPr>
        <w:t xml:space="preserve"> договоров участия в долевом строительстве многоквартирных домов, предусматривающих размещение денежных сре</w:t>
      </w:r>
      <w:r>
        <w:rPr>
          <w:rFonts w:ascii="Times New Roman" w:hAnsi="Times New Roman"/>
          <w:sz w:val="28"/>
        </w:rPr>
        <w:t>дств в сч</w:t>
      </w:r>
      <w:r>
        <w:rPr>
          <w:rFonts w:ascii="Times New Roman" w:hAnsi="Times New Roman"/>
          <w:sz w:val="28"/>
        </w:rPr>
        <w:t xml:space="preserve">ет уплаты цены договора на счетах </w:t>
      </w:r>
      <w:r>
        <w:rPr>
          <w:rFonts w:ascii="Times New Roman" w:hAnsi="Times New Roman"/>
          <w:sz w:val="28"/>
        </w:rPr>
        <w:t>эскроу</w:t>
      </w:r>
      <w:r>
        <w:rPr>
          <w:rFonts w:ascii="Times New Roman" w:hAnsi="Times New Roman"/>
          <w:sz w:val="28"/>
        </w:rPr>
        <w:t>.</w:t>
      </w:r>
    </w:p>
    <w:p w14:paraId="07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Строительные компании и организации с 2019 года перешли на схему долевого строительства жилья с применением эскроу-счетов. </w:t>
      </w:r>
    </w:p>
    <w:p w14:paraId="08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Счет эскроу - это специальный счет условного депонирования (то есть хранения), на котором аккумулируются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денежные средства до завершения строительства дома. Таким образом, вместо перевода денег напрямую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застройщику, дольщик вносит их на специальный счет эскроу. Средства на эскроу счетах перечисляются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застройщику после предоставления в банк или размещения в Единой информационной системе жилищного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строительства разрешения на ввод объекта в эксплуатацию.</w:t>
      </w:r>
    </w:p>
    <w:p w14:paraId="09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этом порядок государственной регистрации договоров участия в долевом строительстве с применением эскроу-счетов, а также перечень необходимых для получения госуслуги документов не поменялся. Если договор долевого участия (далее – ДДУ) с первым участником долевого строительства представлен на государственную регистрацию после 01.07.2019, то все ДДУ заключаются только с использованием счетов эскроу, открытых в уполномоченном банке.</w:t>
      </w:r>
    </w:p>
    <w:p w14:paraId="0A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ДДУ в отношении объекта долевого строительства в многоквартирном доме (ином объекте недвижимости), не введенном в эксплуатацию, представлен на государственную регистрацию после 01.07.2019, и заключен в отношении дома, который не соответствует установленным Правительством Российской Федерации критериям, такой ДДУ заключается только с использованием счетов эскроу, открытых в уполномоченном банке.</w:t>
      </w:r>
    </w:p>
    <w:p w14:paraId="0B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Если ДДУ в отношении объекта долевого строительства в многоквартирном доме (ином объекте недвижимости), не введенном в эксплуатацию, представлен на регистрацию после 01.07.2019 и заключен в отношении дома, который соответствует установленным Правительством Российской Федерации критериям, по договорам, предметом которых являются жилые помещения, уплачиваются отчисления в компенсационный фонд. </w:t>
      </w:r>
    </w:p>
    <w:sectPr>
      <w:pgSz w:h="16848" w:w="11908"/>
      <w:pgMar w:bottom="850" w:footer="708" w:gutter="0" w:header="708" w:left="1417" w:right="850" w:top="85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Основной шрифт абзаца2"/>
    <w:link w:val="Style_2_ch"/>
  </w:style>
  <w:style w:styleId="Style_2_ch" w:type="character">
    <w:name w:val="Основной шрифт абзаца2"/>
    <w:link w:val="Style_2"/>
  </w:style>
  <w:style w:styleId="Style_3" w:type="paragraph">
    <w:name w:val="toc 2"/>
    <w:next w:val="Style_1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1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1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1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1"/>
    <w:link w:val="Style_7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7_ch" w:type="character">
    <w:name w:val="heading 3"/>
    <w:link w:val="Style_7"/>
    <w:rPr>
      <w:rFonts w:ascii="XO Thames" w:hAnsi="XO Thames"/>
      <w:b w:val="1"/>
      <w:i w:val="1"/>
    </w:rPr>
  </w:style>
  <w:style w:styleId="Style_8" w:type="paragraph">
    <w:name w:val="Balloon Text"/>
    <w:basedOn w:val="Style_1"/>
    <w:link w:val="Style_8_ch"/>
    <w:pPr>
      <w:spacing w:after="0" w:line="240" w:lineRule="auto"/>
      <w:ind/>
    </w:pPr>
    <w:rPr>
      <w:rFonts w:ascii="Tahoma" w:hAnsi="Tahoma"/>
      <w:sz w:val="16"/>
    </w:rPr>
  </w:style>
  <w:style w:styleId="Style_8_ch" w:type="character">
    <w:name w:val="Balloon Text"/>
    <w:basedOn w:val="Style_1_ch"/>
    <w:link w:val="Style_8"/>
    <w:rPr>
      <w:rFonts w:ascii="Tahoma" w:hAnsi="Tahoma"/>
      <w:sz w:val="16"/>
    </w:rPr>
  </w:style>
  <w:style w:styleId="Style_9" w:type="paragraph">
    <w:name w:val="toc 3"/>
    <w:next w:val="Style_1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Обычный1"/>
    <w:link w:val="Style_10_ch"/>
  </w:style>
  <w:style w:styleId="Style_10_ch" w:type="character">
    <w:name w:val="Обычный1"/>
    <w:link w:val="Style_10"/>
  </w:style>
  <w:style w:styleId="Style_11" w:type="paragraph">
    <w:name w:val="heading 5"/>
    <w:next w:val="Style_1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</w:rPr>
  </w:style>
  <w:style w:styleId="Style_11_ch" w:type="character">
    <w:name w:val="heading 5"/>
    <w:link w:val="Style_11"/>
    <w:rPr>
      <w:rFonts w:ascii="XO Thames" w:hAnsi="XO Thames"/>
      <w:b w:val="1"/>
    </w:rPr>
  </w:style>
  <w:style w:styleId="Style_12" w:type="paragraph">
    <w:name w:val="List Paragraph"/>
    <w:basedOn w:val="Style_1"/>
    <w:link w:val="Style_12_ch"/>
    <w:pPr>
      <w:ind w:firstLine="0" w:left="720"/>
      <w:contextualSpacing w:val="1"/>
    </w:pPr>
  </w:style>
  <w:style w:styleId="Style_12_ch" w:type="character">
    <w:name w:val="List Paragraph"/>
    <w:basedOn w:val="Style_1_ch"/>
    <w:link w:val="Style_12"/>
  </w:style>
  <w:style w:styleId="Style_13" w:type="paragraph">
    <w:name w:val="heading 1"/>
    <w:next w:val="Style_1"/>
    <w:link w:val="Style_1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Гиперссылка1"/>
    <w:link w:val="Style_15_ch"/>
    <w:rPr>
      <w:color w:val="0000FF"/>
      <w:u w:val="single"/>
    </w:rPr>
  </w:style>
  <w:style w:styleId="Style_15_ch" w:type="character">
    <w:name w:val="Гиперссылка1"/>
    <w:link w:val="Style_15"/>
    <w:rPr>
      <w:color w:val="0000FF"/>
      <w:u w:val="single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rPr>
      <w:rFonts w:ascii="XO Thames" w:hAnsi="XO Thames"/>
    </w:rPr>
  </w:style>
  <w:style w:styleId="Style_17_ch" w:type="character">
    <w:name w:val="Footnote"/>
    <w:link w:val="Style_17"/>
    <w:rPr>
      <w:rFonts w:ascii="XO Thames" w:hAnsi="XO Thames"/>
    </w:rPr>
  </w:style>
  <w:style w:styleId="Style_18" w:type="paragraph">
    <w:name w:val="toc 1"/>
    <w:next w:val="Style_1"/>
    <w:link w:val="Style_18_ch"/>
    <w:uiPriority w:val="39"/>
    <w:rPr>
      <w:rFonts w:ascii="XO Thames" w:hAnsi="XO Thames"/>
      <w:b w:val="1"/>
    </w:rPr>
  </w:style>
  <w:style w:styleId="Style_18_ch" w:type="character">
    <w:name w:val="toc 1"/>
    <w:link w:val="Style_18"/>
    <w:rPr>
      <w:rFonts w:ascii="XO Thames" w:hAnsi="XO Thames"/>
      <w:b w:val="1"/>
    </w:rPr>
  </w:style>
  <w:style w:styleId="Style_19" w:type="paragraph">
    <w:name w:val="Header and Footer"/>
    <w:link w:val="Style_19_ch"/>
    <w:pPr>
      <w:spacing w:line="360" w:lineRule="auto"/>
      <w:ind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1"/>
    <w:link w:val="Style_20_ch"/>
    <w:uiPriority w:val="39"/>
    <w:pPr>
      <w:ind w:firstLine="0" w:left="1600"/>
    </w:pPr>
  </w:style>
  <w:style w:styleId="Style_20_ch" w:type="character">
    <w:name w:val="toc 9"/>
    <w:link w:val="Style_20"/>
  </w:style>
  <w:style w:styleId="Style_21" w:type="paragraph">
    <w:name w:val="Гиперссылка2"/>
    <w:link w:val="Style_21_ch"/>
    <w:rPr>
      <w:color w:val="0000FF"/>
      <w:u w:val="single"/>
    </w:rPr>
  </w:style>
  <w:style w:styleId="Style_21_ch" w:type="character">
    <w:name w:val="Гиперссылка2"/>
    <w:link w:val="Style_21"/>
    <w:rPr>
      <w:color w:val="0000FF"/>
      <w:u w:val="single"/>
    </w:rPr>
  </w:style>
  <w:style w:styleId="Style_22" w:type="paragraph">
    <w:name w:val="toc 8"/>
    <w:next w:val="Style_1"/>
    <w:link w:val="Style_22_ch"/>
    <w:uiPriority w:val="39"/>
    <w:pPr>
      <w:ind w:firstLine="0" w:left="1400"/>
    </w:pPr>
  </w:style>
  <w:style w:styleId="Style_22_ch" w:type="character">
    <w:name w:val="toc 8"/>
    <w:link w:val="Style_22"/>
  </w:style>
  <w:style w:styleId="Style_23" w:type="paragraph">
    <w:name w:val="Основной шрифт абзаца1"/>
    <w:link w:val="Style_23_ch"/>
  </w:style>
  <w:style w:styleId="Style_23_ch" w:type="character">
    <w:name w:val="Основной шрифт абзаца1"/>
    <w:link w:val="Style_23"/>
  </w:style>
  <w:style w:styleId="Style_24" w:type="paragraph">
    <w:name w:val="toc 5"/>
    <w:next w:val="Style_1"/>
    <w:link w:val="Style_24_ch"/>
    <w:uiPriority w:val="39"/>
    <w:pPr>
      <w:ind w:firstLine="0" w:left="800"/>
    </w:pPr>
  </w:style>
  <w:style w:styleId="Style_24_ch" w:type="character">
    <w:name w:val="toc 5"/>
    <w:link w:val="Style_24"/>
  </w:style>
  <w:style w:styleId="Style_25" w:type="paragraph">
    <w:name w:val="Normal (Web)"/>
    <w:basedOn w:val="Style_1"/>
    <w:link w:val="Style_2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5_ch" w:type="character">
    <w:name w:val="Normal (Web)"/>
    <w:basedOn w:val="Style_1_ch"/>
    <w:link w:val="Style_25"/>
    <w:rPr>
      <w:rFonts w:ascii="Times New Roman" w:hAnsi="Times New Roman"/>
      <w:sz w:val="24"/>
    </w:rPr>
  </w:style>
  <w:style w:styleId="Style_26" w:type="paragraph">
    <w:name w:val="Subtitle"/>
    <w:next w:val="Style_1"/>
    <w:link w:val="Style_26_ch"/>
    <w:uiPriority w:val="11"/>
    <w:qFormat/>
    <w:rPr>
      <w:rFonts w:ascii="XO Thames" w:hAnsi="XO Thames"/>
      <w:i w:val="1"/>
      <w:color w:val="616161"/>
      <w:sz w:val="24"/>
    </w:rPr>
  </w:style>
  <w:style w:styleId="Style_26_ch" w:type="character">
    <w:name w:val="Subtitle"/>
    <w:link w:val="Style_26"/>
    <w:rPr>
      <w:rFonts w:ascii="XO Thames" w:hAnsi="XO Thames"/>
      <w:i w:val="1"/>
      <w:color w:val="616161"/>
      <w:sz w:val="24"/>
    </w:rPr>
  </w:style>
  <w:style w:styleId="Style_27" w:type="paragraph">
    <w:name w:val="toc 10"/>
    <w:next w:val="Style_1"/>
    <w:link w:val="Style_27_ch"/>
    <w:uiPriority w:val="39"/>
    <w:pPr>
      <w:ind w:firstLine="0" w:left="1800"/>
    </w:pPr>
  </w:style>
  <w:style w:styleId="Style_27_ch" w:type="character">
    <w:name w:val="toc 10"/>
    <w:link w:val="Style_27"/>
  </w:style>
  <w:style w:styleId="Style_28" w:type="paragraph">
    <w:name w:val="Title"/>
    <w:next w:val="Style_1"/>
    <w:link w:val="Style_28_ch"/>
    <w:uiPriority w:val="10"/>
    <w:qFormat/>
    <w:rPr>
      <w:rFonts w:ascii="XO Thames" w:hAnsi="XO Thames"/>
      <w:b w:val="1"/>
      <w:sz w:val="52"/>
    </w:rPr>
  </w:style>
  <w:style w:styleId="Style_28_ch" w:type="character">
    <w:name w:val="Title"/>
    <w:link w:val="Style_28"/>
    <w:rPr>
      <w:rFonts w:ascii="XO Thames" w:hAnsi="XO Thames"/>
      <w:b w:val="1"/>
      <w:sz w:val="52"/>
    </w:rPr>
  </w:style>
  <w:style w:styleId="Style_29" w:type="paragraph">
    <w:name w:val="heading 4"/>
    <w:next w:val="Style_1"/>
    <w:link w:val="Style_29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9_ch" w:type="character">
    <w:name w:val="heading 4"/>
    <w:link w:val="Style_29"/>
    <w:rPr>
      <w:rFonts w:ascii="XO Thames" w:hAnsi="XO Thames"/>
      <w:b w:val="1"/>
      <w:color w:val="595959"/>
      <w:sz w:val="26"/>
    </w:rPr>
  </w:style>
  <w:style w:styleId="Style_30" w:type="paragraph">
    <w:name w:val="Обычный1"/>
    <w:link w:val="Style_30_ch"/>
  </w:style>
  <w:style w:styleId="Style_30_ch" w:type="character">
    <w:name w:val="Обычный1"/>
    <w:link w:val="Style_30"/>
  </w:style>
  <w:style w:styleId="Style_31" w:type="paragraph">
    <w:name w:val="extended-text__short"/>
    <w:basedOn w:val="Style_23"/>
    <w:link w:val="Style_31_ch"/>
  </w:style>
  <w:style w:styleId="Style_31_ch" w:type="character">
    <w:name w:val="extended-text__short"/>
    <w:basedOn w:val="Style_23_ch"/>
    <w:link w:val="Style_31"/>
  </w:style>
  <w:style w:styleId="Style_32" w:type="paragraph">
    <w:name w:val="heading 2"/>
    <w:next w:val="Style_1"/>
    <w:link w:val="Style_3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2_ch" w:type="character">
    <w:name w:val="heading 2"/>
    <w:link w:val="Style_32"/>
    <w:rPr>
      <w:rFonts w:ascii="XO Thames" w:hAnsi="XO Thames"/>
      <w:b w:val="1"/>
      <w:color w:val="00A0FF"/>
      <w:sz w:val="26"/>
    </w:rPr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2020-09-16T08:20:05Z</dcterms:modified>
</cp:coreProperties>
</file>