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2381250" cy="1000125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0" l="0" r="0" t="0"/>
                    <a:stretch/>
                  </pic:blipFill>
                  <pic:spPr>
                    <a:xfrm rot="0">
                      <a:ext cx="2381250" cy="10001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Управление </w:t>
      </w:r>
      <w:r>
        <w:rPr>
          <w:rFonts w:ascii="Times New Roman" w:hAnsi="Times New Roman"/>
          <w:b w:val="1"/>
          <w:sz w:val="24"/>
        </w:rPr>
        <w:t>Росреестра</w:t>
      </w:r>
      <w:r>
        <w:rPr>
          <w:rFonts w:ascii="Times New Roman" w:hAnsi="Times New Roman"/>
          <w:b w:val="1"/>
          <w:sz w:val="24"/>
        </w:rPr>
        <w:t xml:space="preserve"> по Республике Адыгея</w:t>
      </w:r>
    </w:p>
    <w:p w14:paraId="03000000"/>
    <w:p w14:paraId="04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Государственная регистрация прав на недвижимое имущество и сделок с ним в рамках программы кредитования населения                                   «Сельская ипотека» в Адыгее</w:t>
      </w:r>
    </w:p>
    <w:p w14:paraId="05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начала действия государственной программы ипотечного кредитования по заявлениям граждан Управление </w:t>
      </w:r>
      <w:r>
        <w:rPr>
          <w:rFonts w:ascii="Times New Roman" w:hAnsi="Times New Roman"/>
          <w:sz w:val="28"/>
        </w:rPr>
        <w:t>Росреестра</w:t>
      </w:r>
      <w:r>
        <w:rPr>
          <w:rFonts w:ascii="Times New Roman" w:hAnsi="Times New Roman"/>
          <w:sz w:val="28"/>
        </w:rPr>
        <w:t xml:space="preserve"> по Республике Адыгея уже осуществило </w:t>
      </w:r>
      <w:r>
        <w:rPr>
          <w:rFonts w:ascii="Times New Roman" w:hAnsi="Times New Roman"/>
          <w:sz w:val="28"/>
        </w:rPr>
        <w:t>госрегистрацию</w:t>
      </w:r>
      <w:r>
        <w:rPr>
          <w:rFonts w:ascii="Times New Roman" w:hAnsi="Times New Roman"/>
          <w:sz w:val="28"/>
        </w:rPr>
        <w:t xml:space="preserve"> более 50 </w:t>
      </w:r>
      <w:r>
        <w:rPr>
          <w:rFonts w:ascii="Times New Roman" w:hAnsi="Times New Roman"/>
          <w:sz w:val="28"/>
        </w:rPr>
        <w:t>пакетов</w:t>
      </w:r>
      <w:r>
        <w:rPr>
          <w:rFonts w:ascii="Times New Roman" w:hAnsi="Times New Roman"/>
          <w:sz w:val="28"/>
        </w:rPr>
        <w:t xml:space="preserve"> документов с использованием «Сельской ипотеки» по сниженной ставке. Все права </w:t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оформлены </w:t>
      </w:r>
      <w:r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 xml:space="preserve"> договорам купли-продажи</w:t>
      </w:r>
      <w:r>
        <w:rPr>
          <w:rFonts w:ascii="Times New Roman" w:hAnsi="Times New Roman"/>
          <w:sz w:val="28"/>
        </w:rPr>
        <w:t>.</w:t>
      </w:r>
    </w:p>
    <w:p w14:paraId="06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Государственная программа "Сельская ипотека" в Адыгее заработала в марте 2020 года. Она направлена на развитие </w:t>
      </w:r>
      <w:r>
        <w:rPr>
          <w:rFonts w:ascii="Times New Roman" w:hAnsi="Times New Roman"/>
          <w:sz w:val="28"/>
        </w:rPr>
        <w:t>сельских территорий и повышение привлекательности жизни на селе.</w:t>
      </w:r>
    </w:p>
    <w:p w14:paraId="0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этой целью новая госпрограмма позволяет получить льготную ставку кредита от 0,1 до 3 процентов. В Республике Адыгея низкая ставка по ипотеке оформляется на сумму не более 3 миллионов рублей</w:t>
      </w:r>
      <w:r>
        <w:rPr>
          <w:rFonts w:ascii="Times New Roman" w:hAnsi="Times New Roman"/>
          <w:sz w:val="28"/>
        </w:rPr>
        <w:t xml:space="preserve">. Воспользоваться «Сельской ипотекой» можно до 2025 года для приобретения жилого дома или другого объекта жилой недвижимости (квартиры) с земельным участком, отвечающего условиям кредитования по категории населенных пунктов. Объект недвижимости может быть </w:t>
      </w:r>
      <w:r>
        <w:rPr>
          <w:rFonts w:ascii="Times New Roman" w:hAnsi="Times New Roman"/>
          <w:sz w:val="28"/>
        </w:rPr>
        <w:t xml:space="preserve">уже готовым и продаваться по договору купли-продажи (в т. ч. физическими лицами), а также разрешено приобретать строящиеся объекты по договору долевого участия. Кроме того, по сельской ипотеке можно получить деньги на приобретение земли и постройку на ней </w:t>
      </w:r>
      <w:r>
        <w:rPr>
          <w:rFonts w:ascii="Times New Roman" w:hAnsi="Times New Roman"/>
          <w:sz w:val="28"/>
        </w:rPr>
        <w:t>дома или на строительство дома на уже имеющемся участке. При этом также действует ряд ограничений, но ключевым требованием для оформления этого вида льготной ипотеки является месторасположение объекта недвижимости.</w:t>
      </w:r>
    </w:p>
    <w:p w14:paraId="08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 отметила руководитель регионального ведомства </w:t>
      </w:r>
      <w:r>
        <w:rPr>
          <w:rFonts w:ascii="Times New Roman" w:hAnsi="Times New Roman"/>
          <w:sz w:val="28"/>
        </w:rPr>
        <w:t>М.И</w:t>
      </w:r>
      <w:r>
        <w:rPr>
          <w:rFonts w:ascii="Times New Roman" w:hAnsi="Times New Roman"/>
          <w:sz w:val="28"/>
        </w:rPr>
        <w:t xml:space="preserve">. Никифорова, при поступлении в Управление </w:t>
      </w:r>
      <w:r>
        <w:rPr>
          <w:rFonts w:ascii="Times New Roman" w:hAnsi="Times New Roman"/>
          <w:sz w:val="28"/>
        </w:rPr>
        <w:t>Росреестра</w:t>
      </w:r>
      <w:r>
        <w:rPr>
          <w:rFonts w:ascii="Times New Roman" w:hAnsi="Times New Roman"/>
          <w:sz w:val="28"/>
        </w:rPr>
        <w:t xml:space="preserve"> д</w:t>
      </w:r>
      <w:r>
        <w:rPr>
          <w:rFonts w:ascii="Times New Roman" w:hAnsi="Times New Roman"/>
          <w:sz w:val="28"/>
        </w:rPr>
        <w:t xml:space="preserve">окументов в отношении объектов недвижимости, приобретаемых в рамках реализации программы «Сельская ипотека», регистрационные действия осуществляются в максимально короткий срок. При возникновении причин, препятствующих проведению </w:t>
      </w:r>
      <w:r>
        <w:rPr>
          <w:rFonts w:ascii="Times New Roman" w:hAnsi="Times New Roman"/>
          <w:sz w:val="28"/>
        </w:rPr>
        <w:t>госрегистрации</w:t>
      </w:r>
      <w:r>
        <w:rPr>
          <w:rFonts w:ascii="Times New Roman" w:hAnsi="Times New Roman"/>
          <w:sz w:val="28"/>
        </w:rPr>
        <w:t>, специалист</w:t>
      </w:r>
      <w:r>
        <w:rPr>
          <w:rFonts w:ascii="Times New Roman" w:hAnsi="Times New Roman"/>
          <w:sz w:val="28"/>
        </w:rPr>
        <w:t>ы незамедлительно связываются с заявителями с целью оперативного устранения замечаний.</w:t>
      </w:r>
    </w:p>
    <w:sectPr>
      <w:pgSz w:h="16848" w:w="11908"/>
      <w:pgMar w:bottom="850" w:footer="708" w:gutter="0" w:header="708" w:left="1417" w:right="850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List Paragraph"/>
    <w:basedOn w:val="Style_1"/>
    <w:link w:val="Style_3_ch"/>
    <w:pPr>
      <w:ind w:firstLine="0" w:left="720"/>
      <w:contextualSpacing w:val="1"/>
    </w:pPr>
  </w:style>
  <w:style w:styleId="Style_3_ch" w:type="character">
    <w:name w:val="List Paragraph"/>
    <w:basedOn w:val="Style_1_ch"/>
    <w:link w:val="Style_3"/>
  </w:style>
  <w:style w:styleId="Style_4" w:type="paragraph">
    <w:name w:val="toc 4"/>
    <w:next w:val="Style_1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1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1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heading 3"/>
    <w:next w:val="Style_1"/>
    <w:link w:val="Style_8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8_ch" w:type="character">
    <w:name w:val="heading 3"/>
    <w:link w:val="Style_8"/>
    <w:rPr>
      <w:rFonts w:ascii="XO Thames" w:hAnsi="XO Thames"/>
      <w:b w:val="1"/>
      <w:i w:val="1"/>
    </w:rPr>
  </w:style>
  <w:style w:styleId="Style_9" w:type="paragraph">
    <w:name w:val="Гиперссылка2"/>
    <w:link w:val="Style_9_ch"/>
    <w:rPr>
      <w:color w:val="0000FF"/>
      <w:u w:val="single"/>
    </w:rPr>
  </w:style>
  <w:style w:styleId="Style_9_ch" w:type="character">
    <w:name w:val="Гиперссылка2"/>
    <w:link w:val="Style_9"/>
    <w:rPr>
      <w:color w:val="0000FF"/>
      <w:u w:val="single"/>
    </w:rPr>
  </w:style>
  <w:style w:styleId="Style_10" w:type="paragraph">
    <w:name w:val="extended-text__short"/>
    <w:basedOn w:val="Style_11"/>
    <w:link w:val="Style_10_ch"/>
  </w:style>
  <w:style w:styleId="Style_10_ch" w:type="character">
    <w:name w:val="extended-text__short"/>
    <w:basedOn w:val="Style_11_ch"/>
    <w:link w:val="Style_10"/>
  </w:style>
  <w:style w:styleId="Style_12" w:type="paragraph">
    <w:name w:val="Normal (Web)"/>
    <w:basedOn w:val="Style_1"/>
    <w:link w:val="Style_1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2_ch" w:type="character">
    <w:name w:val="Normal (Web)"/>
    <w:basedOn w:val="Style_1_ch"/>
    <w:link w:val="Style_12"/>
    <w:rPr>
      <w:rFonts w:ascii="Times New Roman" w:hAnsi="Times New Roman"/>
      <w:sz w:val="24"/>
    </w:rPr>
  </w:style>
  <w:style w:styleId="Style_13" w:type="paragraph">
    <w:name w:val="toc 3"/>
    <w:next w:val="Style_1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heading 5"/>
    <w:next w:val="Style_1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4_ch" w:type="character">
    <w:name w:val="heading 5"/>
    <w:link w:val="Style_14"/>
    <w:rPr>
      <w:rFonts w:ascii="XO Thames" w:hAnsi="XO Thames"/>
      <w:b w:val="1"/>
    </w:rPr>
  </w:style>
  <w:style w:styleId="Style_15" w:type="paragraph">
    <w:name w:val="Balloon Text"/>
    <w:basedOn w:val="Style_1"/>
    <w:link w:val="Style_15_ch"/>
    <w:pPr>
      <w:spacing w:after="0" w:line="240" w:lineRule="auto"/>
      <w:ind/>
    </w:pPr>
    <w:rPr>
      <w:rFonts w:ascii="Tahoma" w:hAnsi="Tahoma"/>
      <w:sz w:val="16"/>
    </w:rPr>
  </w:style>
  <w:style w:styleId="Style_15_ch" w:type="character">
    <w:name w:val="Balloon Text"/>
    <w:basedOn w:val="Style_1_ch"/>
    <w:link w:val="Style_15"/>
    <w:rPr>
      <w:rFonts w:ascii="Tahoma" w:hAnsi="Tahoma"/>
      <w:sz w:val="16"/>
    </w:rPr>
  </w:style>
  <w:style w:styleId="Style_16" w:type="paragraph">
    <w:name w:val="heading 1"/>
    <w:next w:val="Style_1"/>
    <w:link w:val="Style_1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Основной шрифт абзаца2"/>
    <w:link w:val="Style_17_ch"/>
  </w:style>
  <w:style w:styleId="Style_17_ch" w:type="character">
    <w:name w:val="Основной шрифт абзаца2"/>
    <w:link w:val="Style_17"/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rPr>
      <w:rFonts w:ascii="XO Thames" w:hAnsi="XO Thames"/>
    </w:rPr>
  </w:style>
  <w:style w:styleId="Style_19_ch" w:type="character">
    <w:name w:val="Footnote"/>
    <w:link w:val="Style_19"/>
    <w:rPr>
      <w:rFonts w:ascii="XO Thames" w:hAnsi="XO Thames"/>
    </w:rPr>
  </w:style>
  <w:style w:styleId="Style_20" w:type="paragraph">
    <w:name w:val="toc 1"/>
    <w:next w:val="Style_1"/>
    <w:link w:val="Style_20_ch"/>
    <w:uiPriority w:val="39"/>
    <w:rPr>
      <w:rFonts w:ascii="XO Thames" w:hAnsi="XO Thames"/>
      <w:b w:val="1"/>
    </w:rPr>
  </w:style>
  <w:style w:styleId="Style_20_ch" w:type="character">
    <w:name w:val="toc 1"/>
    <w:link w:val="Style_20"/>
    <w:rPr>
      <w:rFonts w:ascii="XO Thames" w:hAnsi="XO Thames"/>
      <w:b w:val="1"/>
    </w:rPr>
  </w:style>
  <w:style w:styleId="Style_21" w:type="paragraph">
    <w:name w:val="Header and Footer"/>
    <w:link w:val="Style_21_ch"/>
    <w:pPr>
      <w:spacing w:line="360" w:lineRule="auto"/>
      <w:ind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1"/>
    <w:link w:val="Style_22_ch"/>
    <w:uiPriority w:val="39"/>
    <w:pPr>
      <w:ind w:firstLine="0" w:left="1600"/>
    </w:pPr>
  </w:style>
  <w:style w:styleId="Style_22_ch" w:type="character">
    <w:name w:val="toc 9"/>
    <w:link w:val="Style_22"/>
  </w:style>
  <w:style w:styleId="Style_11" w:type="paragraph">
    <w:name w:val="Основной шрифт абзаца1"/>
    <w:link w:val="Style_11_ch"/>
  </w:style>
  <w:style w:styleId="Style_11_ch" w:type="character">
    <w:name w:val="Основной шрифт абзаца1"/>
    <w:link w:val="Style_11"/>
  </w:style>
  <w:style w:styleId="Style_23" w:type="paragraph">
    <w:name w:val="Обычный1"/>
    <w:link w:val="Style_23_ch"/>
  </w:style>
  <w:style w:styleId="Style_23_ch" w:type="character">
    <w:name w:val="Обычный1"/>
    <w:link w:val="Style_23"/>
  </w:style>
  <w:style w:styleId="Style_24" w:type="paragraph">
    <w:name w:val="toc 8"/>
    <w:next w:val="Style_1"/>
    <w:link w:val="Style_24_ch"/>
    <w:uiPriority w:val="39"/>
    <w:pPr>
      <w:ind w:firstLine="0" w:left="1400"/>
    </w:pPr>
  </w:style>
  <w:style w:styleId="Style_24_ch" w:type="character">
    <w:name w:val="toc 8"/>
    <w:link w:val="Style_24"/>
  </w:style>
  <w:style w:styleId="Style_25" w:type="paragraph">
    <w:name w:val="toc 5"/>
    <w:next w:val="Style_1"/>
    <w:link w:val="Style_25_ch"/>
    <w:uiPriority w:val="39"/>
    <w:pPr>
      <w:ind w:firstLine="0" w:left="800"/>
    </w:pPr>
  </w:style>
  <w:style w:styleId="Style_25_ch" w:type="character">
    <w:name w:val="toc 5"/>
    <w:link w:val="Style_25"/>
  </w:style>
  <w:style w:styleId="Style_26" w:type="paragraph">
    <w:name w:val="Subtitle"/>
    <w:next w:val="Style_1"/>
    <w:link w:val="Style_26_ch"/>
    <w:uiPriority w:val="11"/>
    <w:qFormat/>
    <w:rPr>
      <w:rFonts w:ascii="XO Thames" w:hAnsi="XO Thames"/>
      <w:i w:val="1"/>
      <w:color w:val="616161"/>
      <w:sz w:val="24"/>
    </w:rPr>
  </w:style>
  <w:style w:styleId="Style_26_ch" w:type="character">
    <w:name w:val="Subtitle"/>
    <w:link w:val="Style_26"/>
    <w:rPr>
      <w:rFonts w:ascii="XO Thames" w:hAnsi="XO Thames"/>
      <w:i w:val="1"/>
      <w:color w:val="616161"/>
      <w:sz w:val="24"/>
    </w:rPr>
  </w:style>
  <w:style w:styleId="Style_27" w:type="paragraph">
    <w:name w:val="Обычный1"/>
    <w:link w:val="Style_27_ch"/>
  </w:style>
  <w:style w:styleId="Style_27_ch" w:type="character">
    <w:name w:val="Обычный1"/>
    <w:link w:val="Style_27"/>
  </w:style>
  <w:style w:styleId="Style_28" w:type="paragraph">
    <w:name w:val="toc 10"/>
    <w:next w:val="Style_1"/>
    <w:link w:val="Style_28_ch"/>
    <w:uiPriority w:val="39"/>
    <w:pPr>
      <w:ind w:firstLine="0" w:left="1800"/>
    </w:pPr>
  </w:style>
  <w:style w:styleId="Style_28_ch" w:type="character">
    <w:name w:val="toc 10"/>
    <w:link w:val="Style_28"/>
  </w:style>
  <w:style w:styleId="Style_29" w:type="paragraph">
    <w:name w:val="Title"/>
    <w:next w:val="Style_1"/>
    <w:link w:val="Style_29_ch"/>
    <w:uiPriority w:val="10"/>
    <w:qFormat/>
    <w:rPr>
      <w:rFonts w:ascii="XO Thames" w:hAnsi="XO Thames"/>
      <w:b w:val="1"/>
      <w:sz w:val="52"/>
    </w:rPr>
  </w:style>
  <w:style w:styleId="Style_29_ch" w:type="character">
    <w:name w:val="Title"/>
    <w:link w:val="Style_29"/>
    <w:rPr>
      <w:rFonts w:ascii="XO Thames" w:hAnsi="XO Thames"/>
      <w:b w:val="1"/>
      <w:sz w:val="52"/>
    </w:rPr>
  </w:style>
  <w:style w:styleId="Style_30" w:type="paragraph">
    <w:name w:val="heading 4"/>
    <w:next w:val="Style_1"/>
    <w:link w:val="Style_3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0_ch" w:type="character">
    <w:name w:val="heading 4"/>
    <w:link w:val="Style_30"/>
    <w:rPr>
      <w:rFonts w:ascii="XO Thames" w:hAnsi="XO Thames"/>
      <w:b w:val="1"/>
      <w:color w:val="595959"/>
      <w:sz w:val="26"/>
    </w:rPr>
  </w:style>
  <w:style w:styleId="Style_31" w:type="paragraph">
    <w:name w:val="heading 2"/>
    <w:next w:val="Style_1"/>
    <w:link w:val="Style_3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1_ch" w:type="character">
    <w:name w:val="heading 2"/>
    <w:link w:val="Style_31"/>
    <w:rPr>
      <w:rFonts w:ascii="XO Thames" w:hAnsi="XO Thames"/>
      <w:b w:val="1"/>
      <w:color w:val="00A0FF"/>
      <w:sz w:val="26"/>
    </w:rPr>
  </w:style>
  <w:style w:styleId="Style_32" w:type="paragraph">
    <w:name w:val="Гиперссылка1"/>
    <w:link w:val="Style_32_ch"/>
    <w:rPr>
      <w:color w:val="0000FF"/>
      <w:u w:val="single"/>
    </w:rPr>
  </w:style>
  <w:style w:styleId="Style_32_ch" w:type="character">
    <w:name w:val="Гиперссылка1"/>
    <w:link w:val="Style_32"/>
    <w:rPr>
      <w:color w:val="0000FF"/>
      <w:u w:val="single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2020-09-16T08:46:08Z</dcterms:modified>
</cp:coreProperties>
</file>