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МАЙКОПСКИЙ РАЙОН</w:t>
      </w:r>
    </w:p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   </w:t>
      </w:r>
    </w:p>
    <w:p w:rsidR="00C85C57" w:rsidRDefault="00B81B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«КРАСНОУЛЬСКОЕ СЕЛЬСКОЕ ПОСЕЛЕНИЕ»</w:t>
      </w:r>
    </w:p>
    <w:p w:rsidR="00C85C57" w:rsidRDefault="00C85C57">
      <w:pPr>
        <w:pStyle w:val="ac"/>
        <w:jc w:val="center"/>
        <w:rPr>
          <w:sz w:val="28"/>
          <w:szCs w:val="28"/>
          <w:lang w:val="ru-RU"/>
        </w:rPr>
      </w:pPr>
    </w:p>
    <w:p w:rsidR="00C85C57" w:rsidRDefault="00C85C57">
      <w:pPr>
        <w:pStyle w:val="Standard"/>
        <w:rPr>
          <w:rFonts w:eastAsia="Times New Roman" w:cs="Times New Roman"/>
          <w:bCs/>
          <w:color w:val="0F1419"/>
          <w:sz w:val="28"/>
          <w:szCs w:val="28"/>
          <w:lang w:val="ru-RU" w:eastAsia="ru-RU"/>
        </w:rPr>
      </w:pP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0F1419"/>
          <w:sz w:val="28"/>
          <w:lang w:val="en-US" w:eastAsia="ru-RU"/>
        </w:rPr>
        <w:t>28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» декабря 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2023 г.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F1419"/>
          <w:sz w:val="28"/>
          <w:lang w:val="en-US" w:eastAsia="ru-RU"/>
        </w:rPr>
        <w:t>35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                                                                      </w:t>
      </w: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</w:p>
    <w:p w:rsidR="00C85C57" w:rsidRDefault="00B81B7A">
      <w:pPr>
        <w:shd w:val="clear" w:color="auto" w:fill="FFFFFF"/>
        <w:spacing w:before="180" w:after="180" w:line="240" w:lineRule="auto"/>
        <w:ind w:firstLine="993"/>
        <w:jc w:val="center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Об утверждении Порядка предоставления в прокуратуру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проектов нормативных правовых актов и нормативных правовых актов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сельское поселение» для проведения правовой и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экспертизы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соответствии с Федеральным законом от 06.10.2003 №131-ФЗ «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закона от 17.07.2009 № 172-ФЗ «Об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экспертизе нормативных правовых актов 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и проектов нормативных правовых актов» и Постановлением Правительства РФ от 26.02.2010 г. №96 «Об </w:t>
      </w:r>
      <w:proofErr w:type="spellStart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</w:t>
      </w:r>
      <w:proofErr w:type="gramEnd"/>
    </w:p>
    <w:p w:rsidR="00C85C57" w:rsidRDefault="00B81B7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ПОСТАНОВЛЯЮ: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1.Утвердить Порядок предоставления в прокуратуру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проектов нормативных правовых актов и нормативных правовых актов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сельское поселение» для проведения правовой и 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экспертизы с Приложением.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2.Настоящее постановления обнародовать на оф</w:t>
      </w: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ициальном сайте муниципального образования.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3.Постановление  вступает в силу со дня официального опубликования настоящего постановления  в установленном порядке. 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  <w:t xml:space="preserve"> исполнением данного постановления  оставляю за собой. </w:t>
      </w: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</w:p>
    <w:p w:rsidR="00C85C57" w:rsidRDefault="00B81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C85C57" w:rsidRDefault="00B81B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Мавлянов</w:t>
      </w:r>
      <w:proofErr w:type="spellEnd"/>
    </w:p>
    <w:p w:rsidR="00C85C57" w:rsidRDefault="00C85C57">
      <w:pPr>
        <w:rPr>
          <w:rFonts w:ascii="Times New Roman" w:hAnsi="Times New Roman"/>
          <w:sz w:val="28"/>
          <w:szCs w:val="28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color w:val="0F1419"/>
          <w:sz w:val="28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</w:pPr>
    </w:p>
    <w:p w:rsidR="00C85C57" w:rsidRDefault="00B81B7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8"/>
          <w:lang w:eastAsia="ru-RU"/>
        </w:rPr>
        <w:t>ПОРЯДОК</w:t>
      </w:r>
    </w:p>
    <w:p w:rsidR="00C85C57" w:rsidRPr="00B81B7A" w:rsidRDefault="00B81B7A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81B7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предоставления в прокуратуру проектов нормативных правовых актов и нормативных правовых актов Администрации </w:t>
      </w:r>
      <w:r w:rsidRPr="00B81B7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B81B7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>Красноульское</w:t>
      </w:r>
      <w:proofErr w:type="spellEnd"/>
      <w:r w:rsidRPr="00B81B7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 xml:space="preserve"> сел</w:t>
      </w:r>
      <w:r w:rsidRPr="00B81B7A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val="ru-RU" w:eastAsia="ru-RU"/>
        </w:rPr>
        <w:t xml:space="preserve">ьское поселение» </w:t>
      </w:r>
      <w:r w:rsidRPr="00B81B7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для проведения правовой и </w:t>
      </w:r>
      <w:proofErr w:type="spellStart"/>
      <w:r w:rsidRPr="00B81B7A">
        <w:rPr>
          <w:rFonts w:ascii="Times New Roman" w:hAnsi="Times New Roman" w:cs="Times New Roman"/>
          <w:b/>
          <w:sz w:val="28"/>
          <w:szCs w:val="28"/>
          <w:lang w:val="ru-RU" w:eastAsia="ru-RU"/>
        </w:rPr>
        <w:t>антикоррупционной</w:t>
      </w:r>
      <w:proofErr w:type="spellEnd"/>
      <w:r w:rsidRPr="00B81B7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экспертизы</w:t>
      </w:r>
    </w:p>
    <w:p w:rsidR="00C85C57" w:rsidRPr="00B81B7A" w:rsidRDefault="00C85C5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C85C57" w:rsidRDefault="00B81B7A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1.Общие положения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1.1.Порядок предоставления в прокуратуру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(далее - Прокуратура)  проектов нормативных правовых актов и нормативных правовых актов (далее - НПА) Администрации </w:t>
      </w:r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Красноульское</w:t>
      </w:r>
      <w:proofErr w:type="spellEnd"/>
      <w:r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 – Администрация) для проведения правовой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спертизы (далее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 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разработан на основании п. 2 ст. 6 Федерального закона от 25.12.2008 № 273-ФЗ «О противодействии коррупции», п. 1 ч. 1 и ч. 2 ст. 3 Федерального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от 17.07.2009 № 172-ФЗ «Об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нормативных правовых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актов и проектов нормативных правовых актов», Постановления Правительства РФ от 26.02.2010 г. № 96 «Об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1.2.Направлению в Прокуратуру подлежат НПА и проекты НПА,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касающиеся: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-прав, свобод и обязанностей человека и гражданина;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-социальных гарантий лицам,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мещающим (замещавшим) муниципальные должности и должности муниципальной службы;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-иные правовые акты, носящие нормативный характер с учетом разъяснений, содержащихся в постановлении Пленума Верховного Суда РФ от 25.12.2018 № 50 «О практике рассмотрения суда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дел об оспаривании нормативных правовых актов и актов, содержащих разъяснения законодательства и обладающих нормативными свойствами».</w:t>
      </w:r>
      <w:proofErr w:type="gramEnd"/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Все проекты НПА и НПА Администрации в обязательном порядке подлежат изучению на предмет соответствия федеральному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(республиканскому) законодательству, наличию в 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</w:t>
      </w:r>
    </w:p>
    <w:p w:rsidR="00C85C57" w:rsidRDefault="00C85C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85C57" w:rsidRDefault="00B81B7A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lastRenderedPageBreak/>
        <w:t>2. Предоставление нормативных правовых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актов и их проектов для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экспертизы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Проекты НПА направляются Администрацией в Прокуратуру не менее чем за 30 (тридцать) календарных дней до планируемой даты их рассмотрения и принятия.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обеспечивает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в Прокуратуру НПА в течение 7 (семи) календарных дней с момента их принятия (издания).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НПА и НПА предоставляются в Прокуратуру на бумажном носителе за подписью уполномоченного лица.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Дополнительно, в случае наличия технической возможност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проекты НПА и НПА направляются в Прокуратуру в форме электронного документа (по согласованию).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 случае поступления из Прокуратуры (отрицательного) заключения с замечаниями на проект НПА, проект не позднее 15 (пятнадцати) дней дорабатывается разработчик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ом проекта НПА в соответствии с заключением Прокуратуры, либо направляется информация в Прокуратуру, об отказе в принятии НПА, по тем или иным причинам.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В случае мотивированного несогласия с какими-либо отдельными доводами, изложенными в заключени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Прокуратуры, в целях обеспечения согласованной и единой позиции должностным лицом Администрации,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 за предоставление в прокуратуру НПА и проектов НПА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, инициируется проведение совещания с участием Главы Администрации либо его заместителя, разраб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отчика проекта НПА, представителя Прокуратуры, иных заинтересованных лиц. 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со дня проведения совещания направляется в Прокуратуру.  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Глава Администрации своим распоряжением назначает должностное лицо, ответственное за предоставление в Прокуратуру проектов НПА и НПА.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На ответственное должностное лицо Администрации возла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гается обязанность по ведению учета всех направленных в Прокуратуру проектов НПА и НПА, учету поступивших замечаний. Ответственным должностным лицом Администрации на бумажном носителе ведутся реестры, где отражаются все направленные в Прокуратуру проекты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 и НПА.   </w:t>
      </w:r>
    </w:p>
    <w:p w:rsidR="00C85C57" w:rsidRDefault="00B81B7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 Порядок рассмотрения поступившего протеста, требования, предложения прокурора в отношении НПА</w:t>
      </w:r>
    </w:p>
    <w:p w:rsidR="00C85C57" w:rsidRDefault="00B81B7A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законодател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ьством, исключения, содержащихся в нем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факторов, уполномоченное Главой Администрации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Прокуратуры, направленное в порядке ст. 9 Федерального закона от 17.01.1992 № 2202-I «О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куратуре Российской Федерации», подлежит рассмотрению в Администрации не позднее 30 календарных дней со дня его поступления, за исключением случаев, если в предложении не установлен иной срок его рассмотрения. По результатам рассмотрения предложения в Прок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уратуру направляется письменный ответ, в том числе при необходимости с приложением (проекта) НПА. </w:t>
      </w:r>
    </w:p>
    <w:p w:rsidR="00C85C57" w:rsidRDefault="00B81B7A">
      <w:p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4.Проведение сверки с Прокуратурой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Ежемесячно, не позднее последнего рабочего дня текущего месяца, ответственным должностным лицом в Прокуратуру предоставляе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акт сверки направленных в Прокуратуру проектов НПА и направленных в Прокуратуру принятых НПА (Приложение).</w:t>
      </w:r>
    </w:p>
    <w:p w:rsidR="00C85C57" w:rsidRDefault="00B81B7A">
      <w:pPr>
        <w:shd w:val="clear" w:color="auto" w:fill="FFFFFF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сверки должен содержать следующие сведения: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-период, за который проводится сверка;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-количество направленных в Прокуратуру проектов НПА и НПА;</w:t>
      </w:r>
    </w:p>
    <w:p w:rsidR="00C85C57" w:rsidRDefault="00B81B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-подписи ответственных лиц.</w:t>
      </w:r>
    </w:p>
    <w:p w:rsidR="00C85C57" w:rsidRDefault="00C85C57">
      <w:pPr>
        <w:shd w:val="clear" w:color="auto" w:fill="FFFFFF"/>
        <w:spacing w:line="240" w:lineRule="auto"/>
        <w:ind w:left="39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85C57" w:rsidRDefault="00B81B7A">
      <w:pPr>
        <w:numPr>
          <w:ilvl w:val="0"/>
          <w:numId w:val="1"/>
        </w:numPr>
        <w:shd w:val="clear" w:color="auto" w:fill="FFFFFF"/>
        <w:spacing w:line="240" w:lineRule="auto"/>
        <w:ind w:left="39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Ответственность за нарушение Порядка</w:t>
      </w:r>
    </w:p>
    <w:p w:rsidR="00C85C57" w:rsidRDefault="00C85C57">
      <w:pPr>
        <w:shd w:val="clear" w:color="auto" w:fill="FFFFFF"/>
        <w:spacing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5C57" w:rsidRDefault="00B81B7A">
      <w:pPr>
        <w:shd w:val="clear" w:color="auto" w:fill="FFFFFF"/>
        <w:spacing w:line="240" w:lineRule="auto"/>
        <w:ind w:left="30" w:firstLine="67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Порядка - должностное лицо Администрации, ответственное за предоставления в Прокуратуру НПА и проектов НПА, несет предусмотренную законом ответственность.</w:t>
      </w: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C85C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1"/>
          <w:szCs w:val="21"/>
          <w:lang w:eastAsia="ru-RU"/>
        </w:rPr>
      </w:pP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F1419"/>
          <w:sz w:val="21"/>
          <w:szCs w:val="21"/>
          <w:lang w:eastAsia="ru-RU"/>
        </w:rPr>
        <w:t xml:space="preserve">Приложение </w:t>
      </w:r>
    </w:p>
    <w:p w:rsidR="00C85C57" w:rsidRDefault="00B81B7A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СВЕРКИ</w:t>
      </w:r>
    </w:p>
    <w:p w:rsidR="00C85C57" w:rsidRDefault="00B81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проектов нормативных правовых актов 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……….</w:t>
      </w:r>
    </w:p>
    <w:tbl>
      <w:tblPr>
        <w:tblStyle w:val="ae"/>
        <w:tblW w:w="9494" w:type="dxa"/>
        <w:tblLayout w:type="fixed"/>
        <w:tblLook w:val="01E0"/>
      </w:tblPr>
      <w:tblGrid>
        <w:gridCol w:w="704"/>
        <w:gridCol w:w="2835"/>
        <w:gridCol w:w="1843"/>
        <w:gridCol w:w="2179"/>
        <w:gridCol w:w="1933"/>
      </w:tblGrid>
      <w:tr w:rsidR="00C85C57">
        <w:trPr>
          <w:trHeight w:val="999"/>
        </w:trPr>
        <w:tc>
          <w:tcPr>
            <w:tcW w:w="704" w:type="dxa"/>
            <w:shd w:val="clear" w:color="auto" w:fill="auto"/>
            <w:vAlign w:val="center"/>
          </w:tcPr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краткое содержание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нормативного правового акта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направления в прокуратуру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2179" w:type="dxa"/>
            <w:vAlign w:val="center"/>
          </w:tcPr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и дата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НПА,</w:t>
            </w:r>
          </w:p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публикации</w:t>
            </w:r>
          </w:p>
        </w:tc>
        <w:tc>
          <w:tcPr>
            <w:tcW w:w="1933" w:type="dxa"/>
            <w:vAlign w:val="center"/>
          </w:tcPr>
          <w:p w:rsidR="00C85C57" w:rsidRDefault="00B81B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 в прокуратуру принятого НПА </w:t>
            </w:r>
          </w:p>
        </w:tc>
      </w:tr>
      <w:tr w:rsidR="00C85C57">
        <w:trPr>
          <w:trHeight w:val="999"/>
        </w:trPr>
        <w:tc>
          <w:tcPr>
            <w:tcW w:w="704" w:type="dxa"/>
            <w:vAlign w:val="center"/>
          </w:tcPr>
          <w:p w:rsidR="00C85C57" w:rsidRDefault="00C85C5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5C57" w:rsidRDefault="00C85C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  <w:vAlign w:val="center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  <w:vAlign w:val="center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57">
        <w:trPr>
          <w:trHeight w:val="999"/>
        </w:trPr>
        <w:tc>
          <w:tcPr>
            <w:tcW w:w="704" w:type="dxa"/>
          </w:tcPr>
          <w:p w:rsidR="00C85C57" w:rsidRDefault="00C85C57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C57" w:rsidRDefault="00C85C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79" w:type="dxa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3" w:type="dxa"/>
          </w:tcPr>
          <w:p w:rsidR="00C85C57" w:rsidRDefault="00C85C5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C57" w:rsidRDefault="00C85C57">
      <w:pPr>
        <w:ind w:right="-964"/>
        <w:jc w:val="both"/>
        <w:rPr>
          <w:rFonts w:ascii="Times New Roman" w:hAnsi="Times New Roman" w:cs="Times New Roman"/>
          <w:sz w:val="26"/>
          <w:szCs w:val="26"/>
        </w:rPr>
      </w:pPr>
    </w:p>
    <w:p w:rsidR="00C85C57" w:rsidRDefault="00C85C57">
      <w:pPr>
        <w:ind w:right="-964"/>
        <w:jc w:val="both"/>
        <w:rPr>
          <w:rFonts w:ascii="Times New Roman" w:hAnsi="Times New Roman" w:cs="Times New Roman"/>
        </w:rPr>
      </w:pPr>
    </w:p>
    <w:p w:rsidR="00C85C57" w:rsidRDefault="00B81B7A">
      <w:pPr>
        <w:ind w:right="-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________                        </w:t>
      </w:r>
    </w:p>
    <w:p w:rsidR="00C85C57" w:rsidRDefault="00C85C57">
      <w:pPr>
        <w:ind w:right="-964"/>
        <w:jc w:val="both"/>
        <w:rPr>
          <w:rFonts w:ascii="Times New Roman" w:hAnsi="Times New Roman" w:cs="Times New Roman"/>
        </w:rPr>
      </w:pPr>
    </w:p>
    <w:p w:rsidR="00C85C57" w:rsidRDefault="00C85C57">
      <w:pPr>
        <w:ind w:right="-964"/>
        <w:jc w:val="both"/>
        <w:rPr>
          <w:rFonts w:ascii="Times New Roman" w:hAnsi="Times New Roman" w:cs="Times New Roman"/>
        </w:rPr>
      </w:pPr>
    </w:p>
    <w:p w:rsidR="00C85C57" w:rsidRDefault="00B81B7A">
      <w:pPr>
        <w:ind w:right="-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Прокурор района (уполномоченный работник)________</w:t>
      </w:r>
    </w:p>
    <w:p w:rsidR="00C85C57" w:rsidRDefault="00C85C57">
      <w:pPr>
        <w:ind w:right="-964"/>
        <w:jc w:val="both"/>
        <w:rPr>
          <w:rFonts w:ascii="Times New Roman" w:hAnsi="Times New Roman" w:cs="Times New Roman"/>
        </w:rPr>
      </w:pPr>
      <w:bookmarkStart w:id="0" w:name="_Hlk126752741"/>
      <w:bookmarkEnd w:id="0"/>
    </w:p>
    <w:p w:rsidR="00C85C57" w:rsidRDefault="00C85C57">
      <w:pPr>
        <w:spacing w:after="200"/>
        <w:rPr>
          <w:rFonts w:ascii="Times New Roman" w:hAnsi="Times New Roman" w:cs="Times New Roman"/>
        </w:rPr>
      </w:pPr>
    </w:p>
    <w:sectPr w:rsidR="00C85C57" w:rsidSect="00C85C5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703"/>
    <w:multiLevelType w:val="multilevel"/>
    <w:tmpl w:val="CB7AB5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058BB"/>
    <w:multiLevelType w:val="multilevel"/>
    <w:tmpl w:val="6D1891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CF34F84"/>
    <w:multiLevelType w:val="multilevel"/>
    <w:tmpl w:val="70804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5C57"/>
    <w:rsid w:val="00B81B7A"/>
    <w:rsid w:val="00C8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1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50E"/>
    <w:rPr>
      <w:b/>
      <w:bCs/>
    </w:rPr>
  </w:style>
  <w:style w:type="character" w:styleId="a4">
    <w:name w:val="Emphasis"/>
    <w:basedOn w:val="a0"/>
    <w:uiPriority w:val="20"/>
    <w:qFormat/>
    <w:rsid w:val="004E550E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B04E0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C85C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85C57"/>
    <w:pPr>
      <w:spacing w:after="140" w:line="276" w:lineRule="auto"/>
    </w:pPr>
  </w:style>
  <w:style w:type="paragraph" w:styleId="a8">
    <w:name w:val="List"/>
    <w:basedOn w:val="a7"/>
    <w:rsid w:val="00C85C57"/>
    <w:rPr>
      <w:rFonts w:cs="Arial"/>
    </w:rPr>
  </w:style>
  <w:style w:type="paragraph" w:customStyle="1" w:styleId="Caption">
    <w:name w:val="Caption"/>
    <w:basedOn w:val="a"/>
    <w:qFormat/>
    <w:rsid w:val="00C85C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85C57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4E55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A12CF"/>
    <w:pPr>
      <w:widowControl w:val="0"/>
      <w:spacing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qFormat/>
    <w:rsid w:val="00C85C57"/>
    <w:pPr>
      <w:jc w:val="both"/>
      <w:textAlignment w:val="baseline"/>
    </w:pPr>
    <w:rPr>
      <w:rFonts w:ascii="Cambria" w:hAnsi="Cambria" w:cs="Cambria"/>
      <w:lang w:val="en-US" w:bidi="en-US"/>
    </w:rPr>
  </w:style>
  <w:style w:type="paragraph" w:styleId="ad">
    <w:name w:val="Balloon Text"/>
    <w:basedOn w:val="a"/>
    <w:uiPriority w:val="99"/>
    <w:semiHidden/>
    <w:unhideWhenUsed/>
    <w:qFormat/>
    <w:rsid w:val="00B04E0E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85C57"/>
    <w:pPr>
      <w:widowControl w:val="0"/>
      <w:textAlignment w:val="baseline"/>
    </w:pPr>
    <w:rPr>
      <w:rFonts w:ascii="Times New Roman" w:eastAsia="Andale Sans UI;Arial Unicode MS" w:hAnsi="Times New Roman" w:cs="Tahoma"/>
      <w:kern w:val="2"/>
      <w:sz w:val="24"/>
      <w:szCs w:val="24"/>
      <w:lang w:val="de-DE" w:eastAsia="ja-JP" w:bidi="fa-IR"/>
    </w:rPr>
  </w:style>
  <w:style w:type="table" w:styleId="ae">
    <w:name w:val="Table Grid"/>
    <w:basedOn w:val="a1"/>
    <w:rsid w:val="000A12CF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A907-FD61-4B0B-85EB-924037B9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Work</cp:lastModifiedBy>
  <cp:revision>4</cp:revision>
  <cp:lastPrinted>2023-04-26T14:19:00Z</cp:lastPrinted>
  <dcterms:created xsi:type="dcterms:W3CDTF">2023-06-19T11:47:00Z</dcterms:created>
  <dcterms:modified xsi:type="dcterms:W3CDTF">2023-12-29T13:49:00Z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